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lang w:eastAsia="zh-CN"/>
        </w:rPr>
        <w:t>黄石市人防办</w:t>
      </w:r>
      <w:r>
        <w:rPr>
          <w:rFonts w:hint="eastAsia" w:ascii="方正小标宋_GBK" w:eastAsia="方正小标宋_GBK"/>
          <w:sz w:val="44"/>
          <w:szCs w:val="44"/>
        </w:rPr>
        <w:t>随机抽查事项清单</w:t>
      </w:r>
    </w:p>
    <w:p>
      <w:pPr>
        <w:spacing w:line="600" w:lineRule="exact"/>
        <w:rPr>
          <w:rFonts w:hint="eastAsia" w:eastAsia="仿宋_GB2312"/>
          <w:sz w:val="32"/>
        </w:rPr>
      </w:pPr>
    </w:p>
    <w:tbl>
      <w:tblPr>
        <w:tblStyle w:val="4"/>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631"/>
        <w:gridCol w:w="1171"/>
        <w:gridCol w:w="1319"/>
        <w:gridCol w:w="786"/>
        <w:gridCol w:w="842"/>
        <w:gridCol w:w="911"/>
        <w:gridCol w:w="3747"/>
        <w:gridCol w:w="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3" w:type="dxa"/>
            <w:vMerge w:val="restart"/>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序号</w:t>
            </w:r>
          </w:p>
        </w:tc>
        <w:tc>
          <w:tcPr>
            <w:tcW w:w="1802" w:type="dxa"/>
            <w:gridSpan w:val="2"/>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抽查项目</w:t>
            </w:r>
          </w:p>
        </w:tc>
        <w:tc>
          <w:tcPr>
            <w:tcW w:w="1319" w:type="dxa"/>
            <w:vMerge w:val="restart"/>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检查对象</w:t>
            </w:r>
          </w:p>
        </w:tc>
        <w:tc>
          <w:tcPr>
            <w:tcW w:w="786" w:type="dxa"/>
            <w:vMerge w:val="restart"/>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事项类别</w:t>
            </w:r>
          </w:p>
        </w:tc>
        <w:tc>
          <w:tcPr>
            <w:tcW w:w="842" w:type="dxa"/>
            <w:vMerge w:val="restart"/>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检查</w:t>
            </w:r>
          </w:p>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方式</w:t>
            </w:r>
          </w:p>
        </w:tc>
        <w:tc>
          <w:tcPr>
            <w:tcW w:w="911" w:type="dxa"/>
            <w:vMerge w:val="restart"/>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检查主体</w:t>
            </w:r>
          </w:p>
        </w:tc>
        <w:tc>
          <w:tcPr>
            <w:tcW w:w="3747" w:type="dxa"/>
            <w:vMerge w:val="restart"/>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检查依据</w:t>
            </w:r>
          </w:p>
        </w:tc>
        <w:tc>
          <w:tcPr>
            <w:tcW w:w="40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23" w:type="dxa"/>
            <w:vMerge w:val="continue"/>
            <w:shd w:val="clear" w:color="auto" w:fill="auto"/>
            <w:vAlign w:val="center"/>
          </w:tcPr>
          <w:p>
            <w:pPr>
              <w:widowControl/>
              <w:spacing w:line="240" w:lineRule="exact"/>
              <w:jc w:val="left"/>
              <w:rPr>
                <w:rFonts w:hint="eastAsia" w:ascii="方正仿宋_GBK" w:hAnsi="黑体" w:eastAsia="方正仿宋_GBK" w:cs="宋体"/>
                <w:b/>
                <w:bCs/>
                <w:color w:val="000000"/>
                <w:w w:val="90"/>
                <w:kern w:val="0"/>
                <w:szCs w:val="21"/>
              </w:rPr>
            </w:pPr>
          </w:p>
        </w:tc>
        <w:tc>
          <w:tcPr>
            <w:tcW w:w="631" w:type="dxa"/>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抽查类别</w:t>
            </w:r>
          </w:p>
        </w:tc>
        <w:tc>
          <w:tcPr>
            <w:tcW w:w="1171" w:type="dxa"/>
            <w:shd w:val="clear" w:color="auto" w:fill="auto"/>
            <w:vAlign w:val="center"/>
          </w:tcPr>
          <w:p>
            <w:pPr>
              <w:widowControl/>
              <w:spacing w:line="240" w:lineRule="exact"/>
              <w:jc w:val="center"/>
              <w:rPr>
                <w:rFonts w:hint="eastAsia" w:ascii="方正仿宋_GBK" w:hAnsi="黑体" w:eastAsia="方正仿宋_GBK" w:cs="宋体"/>
                <w:b/>
                <w:bCs/>
                <w:color w:val="000000"/>
                <w:w w:val="90"/>
                <w:kern w:val="0"/>
                <w:szCs w:val="21"/>
              </w:rPr>
            </w:pPr>
            <w:r>
              <w:rPr>
                <w:rFonts w:hint="eastAsia" w:ascii="方正仿宋_GBK" w:hAnsi="黑体" w:eastAsia="方正仿宋_GBK" w:cs="宋体"/>
                <w:b/>
                <w:bCs/>
                <w:color w:val="000000"/>
                <w:w w:val="90"/>
                <w:kern w:val="0"/>
                <w:szCs w:val="21"/>
              </w:rPr>
              <w:t>抽查事项</w:t>
            </w:r>
          </w:p>
        </w:tc>
        <w:tc>
          <w:tcPr>
            <w:tcW w:w="1319" w:type="dxa"/>
            <w:vMerge w:val="continue"/>
            <w:vAlign w:val="center"/>
          </w:tcPr>
          <w:p>
            <w:pPr>
              <w:widowControl/>
              <w:spacing w:line="240" w:lineRule="exact"/>
              <w:jc w:val="left"/>
              <w:rPr>
                <w:rFonts w:hint="eastAsia" w:ascii="方正仿宋_GBK" w:hAnsi="黑体" w:eastAsia="方正仿宋_GBK" w:cs="宋体"/>
                <w:b/>
                <w:bCs/>
                <w:color w:val="000000"/>
                <w:w w:val="90"/>
                <w:kern w:val="0"/>
                <w:szCs w:val="21"/>
              </w:rPr>
            </w:pPr>
          </w:p>
        </w:tc>
        <w:tc>
          <w:tcPr>
            <w:tcW w:w="786" w:type="dxa"/>
            <w:vMerge w:val="continue"/>
            <w:vAlign w:val="center"/>
          </w:tcPr>
          <w:p>
            <w:pPr>
              <w:widowControl/>
              <w:spacing w:line="240" w:lineRule="exact"/>
              <w:jc w:val="left"/>
              <w:rPr>
                <w:rFonts w:hint="eastAsia" w:ascii="方正仿宋_GBK" w:hAnsi="黑体" w:eastAsia="方正仿宋_GBK" w:cs="宋体"/>
                <w:b/>
                <w:bCs/>
                <w:color w:val="000000"/>
                <w:w w:val="90"/>
                <w:kern w:val="0"/>
                <w:szCs w:val="21"/>
              </w:rPr>
            </w:pPr>
          </w:p>
        </w:tc>
        <w:tc>
          <w:tcPr>
            <w:tcW w:w="842" w:type="dxa"/>
            <w:vMerge w:val="continue"/>
            <w:vAlign w:val="center"/>
          </w:tcPr>
          <w:p>
            <w:pPr>
              <w:widowControl/>
              <w:spacing w:line="240" w:lineRule="exact"/>
              <w:jc w:val="left"/>
              <w:rPr>
                <w:rFonts w:hint="eastAsia" w:ascii="方正仿宋_GBK" w:hAnsi="黑体" w:eastAsia="方正仿宋_GBK" w:cs="宋体"/>
                <w:b/>
                <w:bCs/>
                <w:color w:val="000000"/>
                <w:w w:val="90"/>
                <w:kern w:val="0"/>
                <w:szCs w:val="21"/>
              </w:rPr>
            </w:pPr>
          </w:p>
        </w:tc>
        <w:tc>
          <w:tcPr>
            <w:tcW w:w="911" w:type="dxa"/>
            <w:vMerge w:val="continue"/>
            <w:vAlign w:val="center"/>
          </w:tcPr>
          <w:p>
            <w:pPr>
              <w:widowControl/>
              <w:spacing w:line="240" w:lineRule="exact"/>
              <w:jc w:val="left"/>
              <w:rPr>
                <w:rFonts w:hint="eastAsia" w:ascii="方正仿宋_GBK" w:hAnsi="黑体" w:eastAsia="方正仿宋_GBK" w:cs="宋体"/>
                <w:b/>
                <w:bCs/>
                <w:color w:val="000000"/>
                <w:w w:val="90"/>
                <w:kern w:val="0"/>
                <w:szCs w:val="21"/>
              </w:rPr>
            </w:pPr>
          </w:p>
        </w:tc>
        <w:tc>
          <w:tcPr>
            <w:tcW w:w="3747" w:type="dxa"/>
            <w:vMerge w:val="continue"/>
            <w:vAlign w:val="center"/>
          </w:tcPr>
          <w:p>
            <w:pPr>
              <w:widowControl/>
              <w:spacing w:line="240" w:lineRule="exact"/>
              <w:jc w:val="left"/>
              <w:rPr>
                <w:rFonts w:hint="eastAsia" w:ascii="方正仿宋_GBK" w:hAnsi="黑体" w:eastAsia="方正仿宋_GBK" w:cs="宋体"/>
                <w:b/>
                <w:bCs/>
                <w:color w:val="000000"/>
                <w:w w:val="90"/>
                <w:kern w:val="0"/>
                <w:szCs w:val="21"/>
              </w:rPr>
            </w:pPr>
          </w:p>
        </w:tc>
        <w:tc>
          <w:tcPr>
            <w:tcW w:w="408" w:type="dxa"/>
            <w:vMerge w:val="continue"/>
            <w:vAlign w:val="center"/>
          </w:tcPr>
          <w:p>
            <w:pPr>
              <w:widowControl/>
              <w:spacing w:line="240" w:lineRule="exact"/>
              <w:jc w:val="left"/>
              <w:rPr>
                <w:rFonts w:hint="eastAsia" w:ascii="方正仿宋_GBK" w:hAnsi="黑体" w:eastAsia="方正仿宋_GBK" w:cs="宋体"/>
                <w:b/>
                <w:bCs/>
                <w:color w:val="000000"/>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jc w:val="center"/>
        </w:trPr>
        <w:tc>
          <w:tcPr>
            <w:tcW w:w="423"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val="en-US" w:eastAsia="zh-CN"/>
              </w:rPr>
            </w:pPr>
            <w:r>
              <w:rPr>
                <w:rFonts w:hint="eastAsia" w:ascii="方正仿宋_GBK" w:hAnsi="宋体" w:eastAsia="方正仿宋_GBK" w:cs="宋体"/>
                <w:color w:val="000000"/>
                <w:w w:val="90"/>
                <w:kern w:val="0"/>
                <w:szCs w:val="21"/>
                <w:lang w:val="en-US" w:eastAsia="zh-CN"/>
              </w:rPr>
              <w:t>1</w:t>
            </w:r>
          </w:p>
        </w:tc>
        <w:tc>
          <w:tcPr>
            <w:tcW w:w="63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人防工程维护管理的监督检查</w:t>
            </w:r>
          </w:p>
        </w:tc>
        <w:tc>
          <w:tcPr>
            <w:tcW w:w="117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人防工程维护管理的监督检查</w:t>
            </w:r>
          </w:p>
        </w:tc>
        <w:tc>
          <w:tcPr>
            <w:tcW w:w="1319"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人防工程使用单位（市场主体和非市场主体</w:t>
            </w:r>
          </w:p>
        </w:tc>
        <w:tc>
          <w:tcPr>
            <w:tcW w:w="786"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一般检查事项</w:t>
            </w:r>
          </w:p>
        </w:tc>
        <w:tc>
          <w:tcPr>
            <w:tcW w:w="842"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实地检查</w:t>
            </w:r>
          </w:p>
        </w:tc>
        <w:tc>
          <w:tcPr>
            <w:tcW w:w="91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县级以上人民政府人民防空主管部门</w:t>
            </w:r>
          </w:p>
        </w:tc>
        <w:tc>
          <w:tcPr>
            <w:tcW w:w="3747" w:type="dxa"/>
            <w:shd w:val="clear" w:color="auto" w:fill="auto"/>
            <w:vAlign w:val="center"/>
          </w:tcPr>
          <w:p>
            <w:pPr>
              <w:widowControl/>
              <w:spacing w:line="240" w:lineRule="exact"/>
              <w:jc w:val="left"/>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w:t>
            </w:r>
            <w:r>
              <w:rPr>
                <w:rFonts w:hint="eastAsia" w:ascii="方正仿宋_GBK" w:hAnsi="宋体" w:eastAsia="方正仿宋_GBK" w:cs="宋体"/>
                <w:color w:val="auto"/>
                <w:w w:val="90"/>
                <w:kern w:val="0"/>
                <w:szCs w:val="21"/>
              </w:rPr>
              <w:t>人民防空法》第25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w:t>
            </w:r>
          </w:p>
          <w:p>
            <w:pPr>
              <w:widowControl/>
              <w:spacing w:line="240" w:lineRule="exact"/>
              <w:jc w:val="left"/>
              <w:rPr>
                <w:rFonts w:hint="eastAsia" w:ascii="方正仿宋_GBK" w:hAnsi="宋体" w:eastAsia="方正仿宋_GBK" w:cs="宋体"/>
                <w:color w:val="000000"/>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val="en-US" w:eastAsia="zh-CN"/>
              </w:rPr>
              <w:t>湖北省人民防空工程管理规定</w:t>
            </w:r>
            <w:r>
              <w:rPr>
                <w:rFonts w:hint="eastAsia" w:ascii="方正仿宋_GBK" w:hAnsi="宋体" w:eastAsia="方正仿宋_GBK" w:cs="宋体"/>
                <w:color w:val="auto"/>
                <w:w w:val="90"/>
                <w:kern w:val="0"/>
                <w:szCs w:val="21"/>
              </w:rPr>
              <w:t>》第4</w:t>
            </w: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条：县级以上人民政府人民防空主管部门应当定期对人防工程的维护和使用情况进行监督检查，发现问题的，当场予以纠正或者要求限期改正。</w:t>
            </w:r>
          </w:p>
        </w:tc>
        <w:tc>
          <w:tcPr>
            <w:tcW w:w="408" w:type="dxa"/>
            <w:shd w:val="clear" w:color="auto" w:fill="auto"/>
            <w:vAlign w:val="center"/>
          </w:tcPr>
          <w:p>
            <w:pPr>
              <w:widowControl/>
              <w:spacing w:line="240" w:lineRule="exact"/>
              <w:jc w:val="left"/>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423"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val="en-US" w:eastAsia="zh-CN"/>
              </w:rPr>
            </w:pPr>
            <w:r>
              <w:rPr>
                <w:rFonts w:hint="eastAsia" w:ascii="方正仿宋_GBK" w:hAnsi="宋体" w:eastAsia="方正仿宋_GBK" w:cs="宋体"/>
                <w:color w:val="000000"/>
                <w:w w:val="90"/>
                <w:kern w:val="0"/>
                <w:szCs w:val="21"/>
                <w:lang w:val="en-US" w:eastAsia="zh-CN"/>
              </w:rPr>
              <w:t>2</w:t>
            </w:r>
          </w:p>
        </w:tc>
        <w:tc>
          <w:tcPr>
            <w:tcW w:w="63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人防工程专用设备质量的检查</w:t>
            </w:r>
          </w:p>
        </w:tc>
        <w:tc>
          <w:tcPr>
            <w:tcW w:w="117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val="en-US" w:eastAsia="zh-CN"/>
              </w:rPr>
            </w:pPr>
            <w:r>
              <w:rPr>
                <w:rFonts w:hint="eastAsia" w:ascii="方正仿宋_GBK" w:hAnsi="宋体" w:eastAsia="方正仿宋_GBK" w:cs="宋体"/>
                <w:color w:val="000000"/>
                <w:w w:val="90"/>
                <w:kern w:val="0"/>
                <w:szCs w:val="21"/>
                <w:lang w:val="en-US" w:eastAsia="zh-CN"/>
              </w:rPr>
              <w:t>人防工程专用设备质量的检查</w:t>
            </w:r>
          </w:p>
        </w:tc>
        <w:tc>
          <w:tcPr>
            <w:tcW w:w="1319"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人防专用设备使用单位（市场主体）</w:t>
            </w:r>
          </w:p>
        </w:tc>
        <w:tc>
          <w:tcPr>
            <w:tcW w:w="786"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一般检查事项</w:t>
            </w:r>
          </w:p>
        </w:tc>
        <w:tc>
          <w:tcPr>
            <w:tcW w:w="842"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eastAsia="zh-CN"/>
              </w:rPr>
            </w:pPr>
            <w:r>
              <w:rPr>
                <w:rFonts w:hint="eastAsia" w:ascii="方正仿宋_GBK" w:hAnsi="宋体" w:eastAsia="方正仿宋_GBK" w:cs="宋体"/>
                <w:color w:val="000000"/>
                <w:w w:val="90"/>
                <w:kern w:val="0"/>
                <w:szCs w:val="21"/>
                <w:lang w:eastAsia="zh-CN"/>
              </w:rPr>
              <w:t>实地检查</w:t>
            </w:r>
          </w:p>
        </w:tc>
        <w:tc>
          <w:tcPr>
            <w:tcW w:w="91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县级以上人民政府人民防空主管部门</w:t>
            </w:r>
          </w:p>
        </w:tc>
        <w:tc>
          <w:tcPr>
            <w:tcW w:w="3747" w:type="dxa"/>
            <w:shd w:val="clear" w:color="auto" w:fill="auto"/>
            <w:vAlign w:val="center"/>
          </w:tcPr>
          <w:p>
            <w:pPr>
              <w:widowControl/>
              <w:spacing w:line="240" w:lineRule="exact"/>
              <w:jc w:val="left"/>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w:t>
            </w:r>
            <w:r>
              <w:rPr>
                <w:rFonts w:hint="eastAsia" w:ascii="方正仿宋_GBK" w:hAnsi="宋体" w:eastAsia="方正仿宋_GBK" w:cs="宋体"/>
                <w:color w:val="000000" w:themeColor="text1"/>
                <w:w w:val="90"/>
                <w:kern w:val="0"/>
                <w:szCs w:val="21"/>
                <w:lang w:eastAsia="zh-CN"/>
                <w14:textFill>
                  <w14:solidFill>
                    <w14:schemeClr w14:val="tx1"/>
                  </w14:solidFill>
                </w14:textFill>
              </w:rPr>
              <w:t>中华人民共和国</w:t>
            </w:r>
            <w:r>
              <w:rPr>
                <w:rFonts w:hint="eastAsia" w:ascii="方正仿宋_GBK" w:hAnsi="宋体" w:eastAsia="方正仿宋_GBK" w:cs="宋体"/>
                <w:color w:val="000000" w:themeColor="text1"/>
                <w:w w:val="90"/>
                <w:kern w:val="0"/>
                <w:szCs w:val="21"/>
                <w14:textFill>
                  <w14:solidFill>
                    <w14:schemeClr w14:val="tx1"/>
                  </w14:solidFill>
                </w14:textFill>
              </w:rPr>
              <w:t>人民防空法》第23条第2款：人民防空工程专用设备的定型、生产必须符合国家规定的标准。</w:t>
            </w:r>
          </w:p>
        </w:tc>
        <w:tc>
          <w:tcPr>
            <w:tcW w:w="408" w:type="dxa"/>
            <w:shd w:val="clear" w:color="auto" w:fill="auto"/>
            <w:vAlign w:val="center"/>
          </w:tcPr>
          <w:p>
            <w:pPr>
              <w:widowControl/>
              <w:spacing w:line="240" w:lineRule="exact"/>
              <w:jc w:val="left"/>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423"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val="en-US" w:eastAsia="zh-CN"/>
              </w:rPr>
            </w:pPr>
            <w:r>
              <w:rPr>
                <w:rFonts w:hint="eastAsia" w:ascii="方正仿宋_GBK" w:hAnsi="宋体" w:eastAsia="方正仿宋_GBK" w:cs="宋体"/>
                <w:color w:val="000000"/>
                <w:w w:val="90"/>
                <w:kern w:val="0"/>
                <w:szCs w:val="21"/>
                <w:lang w:val="en-US" w:eastAsia="zh-CN"/>
              </w:rPr>
              <w:t>3</w:t>
            </w:r>
          </w:p>
        </w:tc>
        <w:tc>
          <w:tcPr>
            <w:tcW w:w="63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人防工程建设质量的监督检查</w:t>
            </w:r>
          </w:p>
        </w:tc>
        <w:tc>
          <w:tcPr>
            <w:tcW w:w="117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val="en-US" w:eastAsia="zh-CN"/>
              </w:rPr>
            </w:pPr>
            <w:r>
              <w:rPr>
                <w:rFonts w:hint="eastAsia" w:ascii="方正仿宋_GBK" w:hAnsi="宋体" w:eastAsia="方正仿宋_GBK" w:cs="宋体"/>
                <w:color w:val="000000"/>
                <w:w w:val="90"/>
                <w:kern w:val="0"/>
                <w:szCs w:val="21"/>
                <w:lang w:val="en-US" w:eastAsia="zh-CN"/>
              </w:rPr>
              <w:t>人防工程建设质量的监督检查</w:t>
            </w:r>
          </w:p>
        </w:tc>
        <w:tc>
          <w:tcPr>
            <w:tcW w:w="1319"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人防工程建设单位（市场主体和非市场主体</w:t>
            </w:r>
          </w:p>
        </w:tc>
        <w:tc>
          <w:tcPr>
            <w:tcW w:w="786"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eastAsia="zh-CN"/>
              </w:rPr>
            </w:pPr>
            <w:r>
              <w:rPr>
                <w:rFonts w:hint="eastAsia" w:ascii="方正仿宋_GBK" w:hAnsi="宋体" w:eastAsia="方正仿宋_GBK" w:cs="宋体"/>
                <w:color w:val="000000"/>
                <w:w w:val="90"/>
                <w:kern w:val="0"/>
                <w:szCs w:val="21"/>
                <w:lang w:eastAsia="zh-CN"/>
              </w:rPr>
              <w:t>一般检查事项</w:t>
            </w:r>
          </w:p>
        </w:tc>
        <w:tc>
          <w:tcPr>
            <w:tcW w:w="842"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eastAsia="zh-CN"/>
              </w:rPr>
            </w:pPr>
            <w:r>
              <w:rPr>
                <w:rFonts w:hint="eastAsia" w:ascii="方正仿宋_GBK" w:hAnsi="宋体" w:eastAsia="方正仿宋_GBK" w:cs="宋体"/>
                <w:color w:val="000000"/>
                <w:w w:val="90"/>
                <w:kern w:val="0"/>
                <w:szCs w:val="21"/>
                <w:lang w:eastAsia="zh-CN"/>
              </w:rPr>
              <w:t>实地检查</w:t>
            </w:r>
          </w:p>
        </w:tc>
        <w:tc>
          <w:tcPr>
            <w:tcW w:w="91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县级以上人民政府人民防空主管部门</w:t>
            </w:r>
          </w:p>
        </w:tc>
        <w:tc>
          <w:tcPr>
            <w:tcW w:w="3747" w:type="dxa"/>
            <w:shd w:val="clear" w:color="auto" w:fill="auto"/>
            <w:vAlign w:val="center"/>
          </w:tcPr>
          <w:p>
            <w:pPr>
              <w:widowControl/>
              <w:spacing w:line="240" w:lineRule="exact"/>
              <w:jc w:val="left"/>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w:t>
            </w:r>
            <w:r>
              <w:rPr>
                <w:rFonts w:hint="eastAsia" w:ascii="方正仿宋_GBK" w:hAnsi="宋体" w:eastAsia="方正仿宋_GBK" w:cs="宋体"/>
                <w:color w:val="auto"/>
                <w:w w:val="90"/>
                <w:kern w:val="0"/>
                <w:szCs w:val="21"/>
              </w:rPr>
              <w:t>人民防空法》第23条：人民防空工程的设计、施工、质量必须符合国家规定的防护标准和质量标准。</w:t>
            </w:r>
          </w:p>
          <w:p>
            <w:pPr>
              <w:widowControl/>
              <w:spacing w:line="240" w:lineRule="exact"/>
              <w:jc w:val="left"/>
              <w:rPr>
                <w:rFonts w:hint="eastAsia" w:ascii="方正仿宋_GBK" w:hAnsi="宋体" w:eastAsia="方正仿宋_GBK" w:cs="宋体"/>
                <w:color w:val="000000"/>
                <w:w w:val="90"/>
                <w:kern w:val="0"/>
                <w:szCs w:val="21"/>
              </w:rPr>
            </w:pPr>
            <w:r>
              <w:rPr>
                <w:rFonts w:hint="eastAsia" w:ascii="方正仿宋_GBK" w:hAnsi="宋体" w:eastAsia="方正仿宋_GBK" w:cs="宋体"/>
                <w:color w:val="auto"/>
                <w:w w:val="90"/>
                <w:kern w:val="0"/>
                <w:szCs w:val="21"/>
              </w:rPr>
              <w:t>《湖北省</w:t>
            </w:r>
            <w:r>
              <w:rPr>
                <w:rFonts w:hint="eastAsia" w:ascii="方正仿宋_GBK" w:hAnsi="宋体" w:eastAsia="方正仿宋_GBK" w:cs="宋体"/>
                <w:color w:val="auto"/>
                <w:w w:val="90"/>
                <w:kern w:val="0"/>
                <w:szCs w:val="21"/>
                <w:lang w:eastAsia="zh-CN"/>
              </w:rPr>
              <w:t>实施</w:t>
            </w:r>
            <w:r>
              <w:rPr>
                <w:rFonts w:hint="eastAsia" w:ascii="方正仿宋_GBK" w:hAnsi="宋体" w:eastAsia="方正仿宋_GBK" w:cs="宋体"/>
                <w:color w:val="auto"/>
                <w:w w:val="90"/>
                <w:kern w:val="0"/>
                <w:szCs w:val="21"/>
                <w:lang w:val="en-US" w:eastAsia="zh-CN"/>
              </w:rPr>
              <w:t>&lt;中华人民共和国人民防空法&gt;</w:t>
            </w:r>
            <w:r>
              <w:rPr>
                <w:rFonts w:hint="eastAsia" w:ascii="方正仿宋_GBK" w:hAnsi="宋体" w:eastAsia="方正仿宋_GBK" w:cs="宋体"/>
                <w:color w:val="auto"/>
                <w:w w:val="90"/>
                <w:kern w:val="0"/>
                <w:szCs w:val="21"/>
              </w:rPr>
              <w:t>办法》第12条第2款：人民防空工程</w:t>
            </w:r>
            <w:r>
              <w:rPr>
                <w:rFonts w:hint="eastAsia" w:ascii="方正仿宋_GBK" w:hAnsi="宋体" w:eastAsia="方正仿宋_GBK" w:cs="宋体"/>
                <w:color w:val="auto"/>
                <w:w w:val="90"/>
                <w:kern w:val="0"/>
                <w:szCs w:val="21"/>
                <w:lang w:eastAsia="zh-CN"/>
              </w:rPr>
              <w:t>建设</w:t>
            </w:r>
            <w:r>
              <w:rPr>
                <w:rFonts w:hint="eastAsia" w:ascii="方正仿宋_GBK" w:hAnsi="宋体" w:eastAsia="方正仿宋_GBK" w:cs="宋体"/>
                <w:color w:val="auto"/>
                <w:w w:val="90"/>
                <w:kern w:val="0"/>
                <w:szCs w:val="21"/>
              </w:rPr>
              <w:t>实行质量监督管理和竣工验收备案制度，县级以上人民政府人民防空主管部门对本行政区域内的人民防空工程质量实施监督管理。</w:t>
            </w:r>
          </w:p>
        </w:tc>
        <w:tc>
          <w:tcPr>
            <w:tcW w:w="408" w:type="dxa"/>
            <w:shd w:val="clear" w:color="auto" w:fill="auto"/>
            <w:vAlign w:val="center"/>
          </w:tcPr>
          <w:p>
            <w:pPr>
              <w:widowControl/>
              <w:spacing w:line="240" w:lineRule="exact"/>
              <w:jc w:val="left"/>
              <w:rPr>
                <w:rFonts w:hint="eastAsia" w:ascii="方正仿宋_GBK" w:hAnsi="宋体" w:eastAsia="方正仿宋_GBK" w:cs="宋体"/>
                <w:color w:val="000000"/>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423"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val="en-US" w:eastAsia="zh-CN"/>
              </w:rPr>
            </w:pPr>
            <w:r>
              <w:rPr>
                <w:rFonts w:hint="eastAsia" w:ascii="方正仿宋_GBK" w:hAnsi="宋体" w:eastAsia="方正仿宋_GBK" w:cs="宋体"/>
                <w:color w:val="000000"/>
                <w:w w:val="90"/>
                <w:kern w:val="0"/>
                <w:szCs w:val="21"/>
                <w:lang w:val="en-US" w:eastAsia="zh-CN"/>
              </w:rPr>
              <w:t>4</w:t>
            </w:r>
          </w:p>
        </w:tc>
        <w:tc>
          <w:tcPr>
            <w:tcW w:w="63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人民防空教育的检查</w:t>
            </w:r>
          </w:p>
        </w:tc>
        <w:tc>
          <w:tcPr>
            <w:tcW w:w="117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val="en-US" w:eastAsia="zh-CN"/>
              </w:rPr>
            </w:pPr>
            <w:r>
              <w:rPr>
                <w:rFonts w:hint="eastAsia" w:ascii="方正仿宋_GBK" w:hAnsi="宋体" w:eastAsia="方正仿宋_GBK" w:cs="宋体"/>
                <w:color w:val="000000"/>
                <w:w w:val="90"/>
                <w:kern w:val="0"/>
                <w:szCs w:val="21"/>
                <w:lang w:val="en-US" w:eastAsia="zh-CN"/>
              </w:rPr>
              <w:t>人民防空教育的检查</w:t>
            </w:r>
          </w:p>
        </w:tc>
        <w:tc>
          <w:tcPr>
            <w:tcW w:w="1319"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各级人防重点城市城区中学（非市场主体）</w:t>
            </w:r>
          </w:p>
        </w:tc>
        <w:tc>
          <w:tcPr>
            <w:tcW w:w="786"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eastAsia="zh-CN"/>
              </w:rPr>
            </w:pPr>
            <w:r>
              <w:rPr>
                <w:rFonts w:hint="eastAsia" w:ascii="方正仿宋_GBK" w:hAnsi="宋体" w:eastAsia="方正仿宋_GBK" w:cs="宋体"/>
                <w:color w:val="000000"/>
                <w:w w:val="90"/>
                <w:kern w:val="0"/>
                <w:szCs w:val="21"/>
                <w:lang w:eastAsia="zh-CN"/>
              </w:rPr>
              <w:t>一般检查事项</w:t>
            </w:r>
          </w:p>
        </w:tc>
        <w:tc>
          <w:tcPr>
            <w:tcW w:w="842"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lang w:eastAsia="zh-CN"/>
              </w:rPr>
            </w:pPr>
            <w:r>
              <w:rPr>
                <w:rFonts w:hint="eastAsia" w:ascii="方正仿宋_GBK" w:hAnsi="宋体" w:eastAsia="方正仿宋_GBK" w:cs="宋体"/>
                <w:color w:val="000000"/>
                <w:w w:val="90"/>
                <w:kern w:val="0"/>
                <w:szCs w:val="21"/>
                <w:lang w:eastAsia="zh-CN"/>
              </w:rPr>
              <w:t>实地检查</w:t>
            </w:r>
          </w:p>
        </w:tc>
        <w:tc>
          <w:tcPr>
            <w:tcW w:w="911" w:type="dxa"/>
            <w:shd w:val="clear" w:color="auto" w:fill="auto"/>
            <w:vAlign w:val="center"/>
          </w:tcPr>
          <w:p>
            <w:pPr>
              <w:widowControl/>
              <w:spacing w:line="240" w:lineRule="exact"/>
              <w:jc w:val="center"/>
              <w:rPr>
                <w:rFonts w:hint="eastAsia" w:ascii="方正仿宋_GBK" w:hAnsi="宋体" w:eastAsia="方正仿宋_GBK" w:cs="宋体"/>
                <w:color w:val="000000"/>
                <w:w w:val="90"/>
                <w:kern w:val="0"/>
                <w:szCs w:val="21"/>
              </w:rPr>
            </w:pPr>
            <w:r>
              <w:rPr>
                <w:rFonts w:hint="eastAsia" w:ascii="方正仿宋_GBK" w:hAnsi="宋体" w:eastAsia="方正仿宋_GBK" w:cs="宋体"/>
                <w:color w:val="000000"/>
                <w:w w:val="90"/>
                <w:kern w:val="0"/>
                <w:szCs w:val="21"/>
              </w:rPr>
              <w:t>各级人民政府人民防空主管部门</w:t>
            </w:r>
          </w:p>
        </w:tc>
        <w:tc>
          <w:tcPr>
            <w:tcW w:w="3747" w:type="dxa"/>
            <w:shd w:val="clear" w:color="auto" w:fill="auto"/>
            <w:vAlign w:val="center"/>
          </w:tcPr>
          <w:p>
            <w:pPr>
              <w:widowControl/>
              <w:spacing w:line="240" w:lineRule="exact"/>
              <w:jc w:val="left"/>
              <w:rPr>
                <w:rFonts w:hint="eastAsia" w:ascii="方正仿宋_GBK" w:hAnsi="宋体" w:eastAsia="方正仿宋_GBK" w:cs="宋体"/>
                <w:color w:val="000000"/>
                <w:w w:val="90"/>
                <w:kern w:val="0"/>
                <w:szCs w:val="21"/>
                <w:lang w:eastAsia="zh-CN"/>
              </w:rPr>
            </w:pPr>
            <w:r>
              <w:rPr>
                <w:rFonts w:hint="eastAsia" w:ascii="方正仿宋_GBK" w:hAnsi="宋体" w:eastAsia="方正仿宋_GBK" w:cs="宋体"/>
                <w:color w:val="auto"/>
                <w:w w:val="90"/>
                <w:kern w:val="0"/>
                <w:szCs w:val="21"/>
              </w:rPr>
              <w:t>《湖北省实施&lt;</w:t>
            </w:r>
            <w:r>
              <w:rPr>
                <w:rFonts w:hint="eastAsia" w:ascii="方正仿宋_GBK" w:hAnsi="宋体" w:eastAsia="方正仿宋_GBK" w:cs="宋体"/>
                <w:color w:val="auto"/>
                <w:w w:val="90"/>
                <w:kern w:val="0"/>
                <w:szCs w:val="21"/>
                <w:lang w:eastAsia="zh-CN"/>
              </w:rPr>
              <w:t>中华人民共和国</w:t>
            </w:r>
            <w:r>
              <w:rPr>
                <w:rFonts w:hint="eastAsia" w:ascii="方正仿宋_GBK" w:hAnsi="宋体" w:eastAsia="方正仿宋_GBK" w:cs="宋体"/>
                <w:color w:val="auto"/>
                <w:w w:val="90"/>
                <w:kern w:val="0"/>
                <w:szCs w:val="21"/>
              </w:rPr>
              <w:t>人民防空法&gt;办法》第23条第4款：各级人民防空主管部门应当加强对人民防空教育的指导和检查</w:t>
            </w:r>
            <w:r>
              <w:rPr>
                <w:rFonts w:hint="eastAsia" w:ascii="方正仿宋_GBK" w:hAnsi="宋体" w:eastAsia="方正仿宋_GBK" w:cs="宋体"/>
                <w:color w:val="auto"/>
                <w:w w:val="90"/>
                <w:kern w:val="0"/>
                <w:szCs w:val="21"/>
                <w:lang w:eastAsia="zh-CN"/>
              </w:rPr>
              <w:t>。</w:t>
            </w:r>
          </w:p>
        </w:tc>
        <w:tc>
          <w:tcPr>
            <w:tcW w:w="408" w:type="dxa"/>
            <w:shd w:val="clear" w:color="auto" w:fill="auto"/>
            <w:vAlign w:val="center"/>
          </w:tcPr>
          <w:p>
            <w:pPr>
              <w:widowControl/>
              <w:spacing w:line="240" w:lineRule="exact"/>
              <w:jc w:val="left"/>
              <w:rPr>
                <w:rFonts w:hint="eastAsia" w:ascii="方正仿宋_GBK" w:hAnsi="宋体" w:eastAsia="方正仿宋_GBK" w:cs="宋体"/>
                <w:color w:val="000000"/>
                <w:w w:val="90"/>
                <w:kern w:val="0"/>
                <w:szCs w:val="21"/>
              </w:rPr>
            </w:pPr>
          </w:p>
        </w:tc>
      </w:tr>
    </w:tbl>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C2ADC"/>
    <w:rsid w:val="06BE46B1"/>
    <w:rsid w:val="0F352E01"/>
    <w:rsid w:val="15425794"/>
    <w:rsid w:val="258B5BC4"/>
    <w:rsid w:val="33A82551"/>
    <w:rsid w:val="37EA2643"/>
    <w:rsid w:val="3B3D41FE"/>
    <w:rsid w:val="3DAF758F"/>
    <w:rsid w:val="42013F49"/>
    <w:rsid w:val="45550126"/>
    <w:rsid w:val="45F03183"/>
    <w:rsid w:val="4E856A80"/>
    <w:rsid w:val="4FB2266B"/>
    <w:rsid w:val="50C72178"/>
    <w:rsid w:val="616B66B7"/>
    <w:rsid w:val="FFFD23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uos</cp:lastModifiedBy>
  <dcterms:modified xsi:type="dcterms:W3CDTF">2022-03-21T15:25:38Z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